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02" w:rsidRDefault="0027331D">
      <w:pPr>
        <w:pStyle w:val="Body"/>
        <w:rPr>
          <w:rFonts w:ascii="Tahoma" w:eastAsia="Tahoma" w:hAnsi="Tahoma" w:cs="Tahoma"/>
          <w:sz w:val="24"/>
          <w:szCs w:val="24"/>
        </w:rPr>
      </w:pPr>
      <w:r w:rsidRPr="005507C1">
        <w:rPr>
          <w:rFonts w:ascii="Tahoma" w:hAnsi="Tahoma"/>
          <w:sz w:val="24"/>
          <w:szCs w:val="24"/>
        </w:rPr>
        <w:t>La CNHZ llama a concurso abierto de méritos y pruebas para proveer 10 (diez)</w:t>
      </w:r>
      <w:r w:rsidR="004D1B9B" w:rsidRPr="004D1B9B">
        <w:rPr>
          <w:rFonts w:ascii="Tahoma" w:eastAsia="Tahoma" w:hAnsi="Tahoma" w:cs="Tahoma"/>
          <w:sz w:val="24"/>
          <w:szCs w:val="24"/>
        </w:rPr>
        <w:pict>
          <v:shapetype id="_x0000_t202" coordsize="21600,21600" o:spt="202" path="m,l,21600r21600,l21600,xe">
            <v:stroke joinstyle="miter"/>
            <v:path gradientshapeok="t" o:connecttype="rect"/>
          </v:shapetype>
          <v:shape id="_x0000_s1026" type="#_x0000_t202" style="position:absolute;margin-left:22.2pt;margin-top:42.3pt;width:458.7pt;height:117.8pt;z-index:251660288;visibility:visible;mso-wrap-distance-left:12pt;mso-wrap-distance-top:12pt;mso-wrap-distance-right:12pt;mso-wrap-distance-bottom:12pt;mso-position-horizontal-relative:margin;mso-position-vertical-relative:page" filled="f" stroked="f" strokeweight="1pt">
            <v:stroke miterlimit="4"/>
            <v:textbox>
              <w:txbxContent>
                <w:p w:rsidR="008F3902" w:rsidRDefault="008F3902">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40" w:lineRule="auto"/>
                    <w:jc w:val="center"/>
                    <w:rPr>
                      <w:rFonts w:ascii="Times New Roman" w:eastAsia="Times New Roman" w:hAnsi="Times New Roman" w:cs="Times New Roman"/>
                      <w:kern w:val="1"/>
                      <w:u w:color="000000"/>
                      <w:lang w:val="es-ES_tradnl"/>
                    </w:rPr>
                  </w:pPr>
                </w:p>
                <w:p w:rsidR="008F3902" w:rsidRDefault="0027331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40" w:lineRule="auto"/>
                    <w:jc w:val="center"/>
                    <w:rPr>
                      <w:rFonts w:ascii="Times New Roman" w:eastAsia="Times New Roman" w:hAnsi="Times New Roman" w:cs="Times New Roman"/>
                      <w:kern w:val="1"/>
                      <w:sz w:val="36"/>
                      <w:szCs w:val="36"/>
                      <w:u w:color="000000"/>
                      <w:lang w:val="es-ES_tradnl"/>
                    </w:rPr>
                  </w:pPr>
                  <w:r>
                    <w:rPr>
                      <w:rFonts w:ascii="Times New Roman" w:eastAsia="Times New Roman" w:hAnsi="Times New Roman" w:cs="Times New Roman"/>
                      <w:noProof/>
                      <w:kern w:val="1"/>
                      <w:sz w:val="36"/>
                      <w:szCs w:val="36"/>
                      <w:u w:color="000000"/>
                    </w:rPr>
                    <w:drawing>
                      <wp:inline distT="0" distB="0" distL="0" distR="0">
                        <wp:extent cx="495300" cy="485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extLst/>
                                </a:blip>
                                <a:stretch>
                                  <a:fillRect/>
                                </a:stretch>
                              </pic:blipFill>
                              <pic:spPr>
                                <a:xfrm>
                                  <a:off x="0" y="0"/>
                                  <a:ext cx="495300" cy="485775"/>
                                </a:xfrm>
                                <a:prstGeom prst="rect">
                                  <a:avLst/>
                                </a:prstGeom>
                              </pic:spPr>
                            </pic:pic>
                          </a:graphicData>
                        </a:graphic>
                      </wp:inline>
                    </w:drawing>
                  </w:r>
                </w:p>
                <w:p w:rsidR="008F3902" w:rsidRDefault="0027331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40" w:lineRule="auto"/>
                    <w:jc w:val="center"/>
                    <w:rPr>
                      <w:rFonts w:ascii="Arial" w:eastAsia="Arial" w:hAnsi="Arial" w:cs="Arial"/>
                      <w:b/>
                      <w:bCs/>
                      <w:color w:val="000080"/>
                      <w:kern w:val="1"/>
                      <w:sz w:val="28"/>
                      <w:szCs w:val="28"/>
                      <w:u w:color="000080"/>
                      <w:lang w:val="es-ES_tradnl"/>
                    </w:rPr>
                  </w:pPr>
                  <w:r>
                    <w:rPr>
                      <w:rFonts w:ascii="Arial" w:hAnsi="Arial"/>
                      <w:b/>
                      <w:bCs/>
                      <w:color w:val="000080"/>
                      <w:kern w:val="1"/>
                      <w:sz w:val="28"/>
                      <w:szCs w:val="28"/>
                      <w:u w:color="000080"/>
                      <w:lang w:val="es-ES_tradnl"/>
                    </w:rPr>
                    <w:t>COMISION NACIONAL HONORARIA DE ZOONOSIS</w:t>
                  </w:r>
                </w:p>
                <w:p w:rsidR="008F3902" w:rsidRDefault="0027331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40" w:lineRule="auto"/>
                    <w:jc w:val="center"/>
                  </w:pPr>
                  <w:r>
                    <w:rPr>
                      <w:rFonts w:ascii="Times New Roman" w:hAnsi="Times New Roman"/>
                      <w:b/>
                      <w:bCs/>
                      <w:kern w:val="1"/>
                      <w:u w:color="000000"/>
                      <w:lang w:val="es-ES_tradnl"/>
                    </w:rPr>
                    <w:t>______________________________________________________________________________</w:t>
                  </w:r>
                </w:p>
              </w:txbxContent>
            </v:textbox>
            <w10:wrap type="topAndBottom" anchorx="margin" anchory="page"/>
          </v:shape>
        </w:pict>
      </w:r>
      <w:r w:rsidRPr="005507C1">
        <w:rPr>
          <w:rFonts w:ascii="Tahoma" w:hAnsi="Tahoma"/>
          <w:sz w:val="24"/>
          <w:szCs w:val="24"/>
        </w:rPr>
        <w:t xml:space="preserve"> cargos </w:t>
      </w:r>
      <w:r>
        <w:rPr>
          <w:rFonts w:ascii="Tahoma" w:hAnsi="Tahoma"/>
          <w:sz w:val="24"/>
          <w:szCs w:val="24"/>
        </w:rPr>
        <w:t>de Médico Veterinario</w:t>
      </w:r>
      <w:r w:rsidRPr="005507C1">
        <w:rPr>
          <w:rFonts w:ascii="Tahoma" w:hAnsi="Tahoma"/>
          <w:sz w:val="24"/>
          <w:szCs w:val="24"/>
        </w:rPr>
        <w:t>,</w:t>
      </w:r>
      <w:r>
        <w:rPr>
          <w:rFonts w:ascii="Tahoma" w:hAnsi="Tahoma"/>
          <w:sz w:val="24"/>
          <w:szCs w:val="24"/>
        </w:rPr>
        <w:t xml:space="preserve"> </w:t>
      </w:r>
      <w:r w:rsidRPr="005507C1">
        <w:rPr>
          <w:rFonts w:ascii="Tahoma" w:hAnsi="Tahoma"/>
          <w:sz w:val="24"/>
          <w:szCs w:val="24"/>
        </w:rPr>
        <w:t>por contrato con la Comisión Pro-Fomento de la CNHZ, para los departamentos</w:t>
      </w:r>
      <w:r>
        <w:rPr>
          <w:rFonts w:ascii="Tahoma" w:hAnsi="Tahoma"/>
          <w:sz w:val="24"/>
          <w:szCs w:val="24"/>
        </w:rPr>
        <w:t xml:space="preserve"> </w:t>
      </w:r>
      <w:r w:rsidRPr="005507C1">
        <w:rPr>
          <w:rFonts w:ascii="Tahoma" w:hAnsi="Tahoma"/>
          <w:sz w:val="24"/>
          <w:szCs w:val="24"/>
        </w:rPr>
        <w:t xml:space="preserve">de Canelones, Colonia, Durazno, Flores, Maldonado, Salto, San José, Soriano, Rivera y Treinta y Tres. </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Horario semanal de 30 hs. Remuneración: 46.750 + IVA + aporte de </w:t>
      </w:r>
      <w:proofErr w:type="spellStart"/>
      <w:r w:rsidRPr="005507C1">
        <w:rPr>
          <w:rFonts w:ascii="Tahoma" w:hAnsi="Tahoma"/>
          <w:sz w:val="24"/>
          <w:szCs w:val="24"/>
          <w:lang w:val="es-UY"/>
        </w:rPr>
        <w:t>cat</w:t>
      </w:r>
      <w:proofErr w:type="spellEnd"/>
      <w:r w:rsidRPr="005507C1">
        <w:rPr>
          <w:rFonts w:ascii="Tahoma" w:hAnsi="Tahoma"/>
          <w:sz w:val="24"/>
          <w:szCs w:val="24"/>
          <w:lang w:val="es-UY"/>
        </w:rPr>
        <w:t xml:space="preserve">. III CJPPU. </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Retiro bases: Bulevar España 2673 MVD y todas nuestras Oficinas Departamentales.</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Exigencias: </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                   Título de </w:t>
      </w:r>
      <w:proofErr w:type="spellStart"/>
      <w:r w:rsidRPr="005507C1">
        <w:rPr>
          <w:rFonts w:ascii="Tahoma" w:hAnsi="Tahoma"/>
          <w:sz w:val="24"/>
          <w:szCs w:val="24"/>
          <w:lang w:val="es-UY"/>
        </w:rPr>
        <w:t>Medico</w:t>
      </w:r>
      <w:proofErr w:type="spellEnd"/>
      <w:r w:rsidRPr="005507C1">
        <w:rPr>
          <w:rFonts w:ascii="Tahoma" w:hAnsi="Tahoma"/>
          <w:sz w:val="24"/>
          <w:szCs w:val="24"/>
          <w:lang w:val="es-UY"/>
        </w:rPr>
        <w:t xml:space="preserve"> Veterinario</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                   Residencia en el departamento de selección, al momento de   </w:t>
      </w:r>
      <w:r w:rsidRPr="005507C1">
        <w:rPr>
          <w:rFonts w:ascii="Tahoma" w:hAnsi="Tahoma"/>
          <w:sz w:val="24"/>
          <w:szCs w:val="24"/>
          <w:lang w:val="es-UY"/>
        </w:rPr>
        <w:tab/>
      </w:r>
      <w:r w:rsidRPr="005507C1">
        <w:rPr>
          <w:rFonts w:ascii="Tahoma" w:hAnsi="Tahoma"/>
          <w:sz w:val="24"/>
          <w:szCs w:val="24"/>
          <w:lang w:val="es-UY"/>
        </w:rPr>
        <w:tab/>
        <w:t xml:space="preserve">    </w:t>
      </w:r>
      <w:r w:rsidRPr="005507C1">
        <w:rPr>
          <w:rFonts w:ascii="Tahoma" w:hAnsi="Tahoma"/>
          <w:sz w:val="24"/>
          <w:szCs w:val="24"/>
          <w:lang w:val="es-UY"/>
        </w:rPr>
        <w:tab/>
      </w:r>
      <w:r w:rsidRPr="005507C1">
        <w:rPr>
          <w:rFonts w:ascii="Tahoma" w:hAnsi="Tahoma"/>
          <w:sz w:val="24"/>
          <w:szCs w:val="24"/>
          <w:lang w:val="es-UY"/>
        </w:rPr>
        <w:tab/>
        <w:t xml:space="preserve">ocupar el cargo. </w:t>
      </w:r>
    </w:p>
    <w:p w:rsidR="008F3902" w:rsidRPr="005507C1" w:rsidRDefault="0027331D">
      <w:pPr>
        <w:pStyle w:val="Addressee"/>
        <w:rPr>
          <w:rFonts w:ascii="Tahoma" w:eastAsia="Tahoma" w:hAnsi="Tahoma" w:cs="Tahoma"/>
          <w:sz w:val="24"/>
          <w:szCs w:val="24"/>
          <w:lang w:val="es-UY"/>
        </w:rPr>
      </w:pPr>
      <w:r w:rsidRPr="005507C1">
        <w:rPr>
          <w:rFonts w:ascii="Tahoma" w:eastAsia="Tahoma" w:hAnsi="Tahoma" w:cs="Tahoma"/>
          <w:sz w:val="24"/>
          <w:szCs w:val="24"/>
          <w:lang w:val="es-UY"/>
        </w:rPr>
        <w:tab/>
        <w:t xml:space="preserve">         Tener </w:t>
      </w:r>
      <w:r w:rsidR="005507C1">
        <w:rPr>
          <w:rFonts w:ascii="Tahoma" w:eastAsia="Tahoma" w:hAnsi="Tahoma" w:cs="Tahoma"/>
          <w:sz w:val="24"/>
          <w:szCs w:val="24"/>
          <w:lang w:val="es-UY"/>
        </w:rPr>
        <w:t xml:space="preserve">hasta </w:t>
      </w:r>
      <w:r w:rsidRPr="005507C1">
        <w:rPr>
          <w:rFonts w:ascii="Tahoma" w:eastAsia="Tahoma" w:hAnsi="Tahoma" w:cs="Tahoma"/>
          <w:sz w:val="24"/>
          <w:szCs w:val="24"/>
          <w:lang w:val="es-UY"/>
        </w:rPr>
        <w:t>45 a</w:t>
      </w:r>
      <w:r w:rsidRPr="005507C1">
        <w:rPr>
          <w:rFonts w:ascii="Tahoma" w:hAnsi="Tahoma"/>
          <w:sz w:val="24"/>
          <w:szCs w:val="24"/>
          <w:lang w:val="es-UY"/>
        </w:rPr>
        <w:t>ños al momento de l</w:t>
      </w:r>
      <w:r w:rsidR="004D1B9B" w:rsidRPr="004D1B9B">
        <w:pict>
          <v:shape id="_x0000_s1027" type="#_x0000_t202" style="position:absolute;margin-left:108pt;margin-top:724pt;width:414.4pt;height:34.6pt;z-index:251659264;visibility:visible;mso-wrap-distance-left:12pt;mso-wrap-distance-top:12pt;mso-wrap-distance-right:12pt;mso-wrap-distance-bottom:12pt;mso-position-horizontal-relative:page;mso-position-vertical-relative:page" filled="f" strokeweight="1pt">
            <v:stroke miterlimit="4"/>
            <v:textbox>
              <w:txbxContent>
                <w:p w:rsidR="008F3902" w:rsidRDefault="0027331D">
                  <w:pPr>
                    <w:widowControl w:val="0"/>
                    <w:tabs>
                      <w:tab w:val="center" w:pos="4252"/>
                      <w:tab w:val="right" w:pos="8504"/>
                    </w:tabs>
                    <w:suppressAutoHyphens/>
                    <w:jc w:val="both"/>
                    <w:rPr>
                      <w:rFonts w:ascii="Arial" w:eastAsia="Arial" w:hAnsi="Arial" w:cs="Arial"/>
                      <w:b/>
                      <w:bCs/>
                      <w:color w:val="000080"/>
                      <w:kern w:val="1"/>
                      <w:sz w:val="22"/>
                      <w:szCs w:val="22"/>
                      <w:u w:color="000080"/>
                      <w:shd w:val="nil"/>
                      <w:lang w:val="es-ES_tradnl"/>
                    </w:rPr>
                  </w:pPr>
                  <w:r>
                    <w:rPr>
                      <w:rFonts w:ascii="Arial" w:hAnsi="Arial" w:cs="Arial Unicode MS"/>
                      <w:b/>
                      <w:bCs/>
                      <w:color w:val="000080"/>
                      <w:kern w:val="1"/>
                      <w:sz w:val="22"/>
                      <w:szCs w:val="22"/>
                      <w:u w:color="000080"/>
                      <w:shd w:val="nil"/>
                      <w:lang w:val="es-ES_tradnl"/>
                    </w:rPr>
                    <w:t xml:space="preserve">BVAR. ESPAÑA 2673 – C.P. 1130                       </w:t>
                  </w:r>
                  <w:r w:rsidRPr="005507C1">
                    <w:rPr>
                      <w:rFonts w:ascii="Arial" w:hAnsi="Arial" w:cs="Arial Unicode MS"/>
                      <w:b/>
                      <w:bCs/>
                      <w:color w:val="000080"/>
                      <w:kern w:val="1"/>
                      <w:sz w:val="22"/>
                      <w:szCs w:val="22"/>
                      <w:u w:color="000080"/>
                      <w:shd w:val="nil"/>
                      <w:lang w:val="es-UY"/>
                    </w:rPr>
                    <w:t xml:space="preserve">        </w:t>
                  </w:r>
                  <w:r>
                    <w:rPr>
                      <w:rFonts w:ascii="Arial" w:hAnsi="Arial" w:cs="Arial Unicode MS"/>
                      <w:b/>
                      <w:bCs/>
                      <w:color w:val="000080"/>
                      <w:kern w:val="1"/>
                      <w:sz w:val="22"/>
                      <w:szCs w:val="22"/>
                      <w:u w:color="000080"/>
                      <w:shd w:val="nil"/>
                      <w:lang w:val="es-ES_tradnl"/>
                    </w:rPr>
                    <w:t>TELEFAX:   (598) 27099258</w:t>
                  </w:r>
                </w:p>
                <w:p w:rsidR="008F3902" w:rsidRDefault="0027331D">
                  <w:pPr>
                    <w:widowControl w:val="0"/>
                    <w:tabs>
                      <w:tab w:val="center" w:pos="4252"/>
                      <w:tab w:val="right" w:pos="8504"/>
                    </w:tabs>
                    <w:suppressAutoHyphens/>
                    <w:jc w:val="both"/>
                  </w:pPr>
                  <w:r>
                    <w:rPr>
                      <w:rFonts w:ascii="Arial" w:hAnsi="Arial" w:cs="Arial Unicode MS"/>
                      <w:b/>
                      <w:bCs/>
                      <w:color w:val="000080"/>
                      <w:kern w:val="1"/>
                      <w:sz w:val="22"/>
                      <w:szCs w:val="22"/>
                      <w:u w:color="000080"/>
                      <w:shd w:val="nil"/>
                      <w:lang w:val="es-ES_tradnl"/>
                    </w:rPr>
                    <w:t xml:space="preserve">MONTEVIDEO, URUGUAY                          </w:t>
                  </w:r>
                  <w:r>
                    <w:rPr>
                      <w:rFonts w:ascii="Arial" w:hAnsi="Arial" w:cs="Arial Unicode MS"/>
                      <w:b/>
                      <w:bCs/>
                      <w:color w:val="000080"/>
                      <w:kern w:val="1"/>
                      <w:sz w:val="22"/>
                      <w:szCs w:val="22"/>
                      <w:u w:color="000080"/>
                      <w:shd w:val="nil"/>
                    </w:rPr>
                    <w:t xml:space="preserve">        </w:t>
                  </w:r>
                  <w:r>
                    <w:rPr>
                      <w:rFonts w:ascii="Arial" w:hAnsi="Arial" w:cs="Arial Unicode MS"/>
                      <w:b/>
                      <w:bCs/>
                      <w:color w:val="000080"/>
                      <w:kern w:val="1"/>
                      <w:sz w:val="22"/>
                      <w:szCs w:val="22"/>
                      <w:u w:color="000080"/>
                      <w:shd w:val="nil"/>
                      <w:lang w:val="es-ES_tradnl"/>
                    </w:rPr>
                    <w:t>secretariazoonosis@gmail.com</w:t>
                  </w:r>
                </w:p>
              </w:txbxContent>
            </v:textbox>
            <w10:wrap anchorx="page" anchory="page"/>
          </v:shape>
        </w:pict>
      </w:r>
      <w:r w:rsidRPr="005507C1">
        <w:rPr>
          <w:rFonts w:ascii="Tahoma" w:hAnsi="Tahoma"/>
          <w:sz w:val="24"/>
          <w:szCs w:val="24"/>
          <w:lang w:val="es-UY"/>
        </w:rPr>
        <w:t>a inscripción</w:t>
      </w:r>
    </w:p>
    <w:p w:rsidR="008F3902" w:rsidRPr="005507C1" w:rsidRDefault="0027331D">
      <w:pPr>
        <w:pStyle w:val="Addressee"/>
        <w:rPr>
          <w:rFonts w:ascii="Tahoma" w:eastAsia="Tahoma" w:hAnsi="Tahoma" w:cs="Tahoma"/>
          <w:sz w:val="24"/>
          <w:szCs w:val="24"/>
          <w:lang w:val="es-UY"/>
        </w:rPr>
      </w:pPr>
      <w:r w:rsidRPr="005507C1">
        <w:rPr>
          <w:rFonts w:ascii="Tahoma" w:eastAsia="Tahoma" w:hAnsi="Tahoma" w:cs="Tahoma"/>
          <w:sz w:val="24"/>
          <w:szCs w:val="24"/>
          <w:lang w:val="es-UY"/>
        </w:rPr>
        <w:tab/>
        <w:t xml:space="preserve">         Licencia profesional de conducir</w:t>
      </w:r>
    </w:p>
    <w:p w:rsidR="008F3902" w:rsidRPr="005507C1" w:rsidRDefault="0027331D">
      <w:pPr>
        <w:pStyle w:val="Addressee"/>
        <w:rPr>
          <w:rFonts w:ascii="Tahoma" w:eastAsia="Tahoma" w:hAnsi="Tahoma" w:cs="Tahoma"/>
          <w:sz w:val="24"/>
          <w:szCs w:val="24"/>
          <w:lang w:val="es-UY"/>
        </w:rPr>
      </w:pPr>
      <w:r w:rsidRPr="005507C1">
        <w:rPr>
          <w:rFonts w:ascii="Tahoma" w:eastAsia="Tahoma" w:hAnsi="Tahoma" w:cs="Tahoma"/>
          <w:sz w:val="24"/>
          <w:szCs w:val="24"/>
          <w:lang w:val="es-UY"/>
        </w:rPr>
        <w:tab/>
        <w:t xml:space="preserve">         Afiliaci</w:t>
      </w:r>
      <w:r w:rsidRPr="005507C1">
        <w:rPr>
          <w:rFonts w:ascii="Tahoma" w:hAnsi="Tahoma"/>
          <w:sz w:val="24"/>
          <w:szCs w:val="24"/>
          <w:lang w:val="es-UY"/>
        </w:rPr>
        <w:t>ón a CJPPU</w:t>
      </w:r>
    </w:p>
    <w:p w:rsidR="008F3902" w:rsidRPr="005507C1" w:rsidRDefault="0027331D">
      <w:pPr>
        <w:pStyle w:val="Addressee"/>
        <w:rPr>
          <w:rFonts w:ascii="Tahoma" w:eastAsia="Tahoma" w:hAnsi="Tahoma" w:cs="Tahoma"/>
          <w:sz w:val="24"/>
          <w:szCs w:val="24"/>
          <w:lang w:val="es-UY"/>
        </w:rPr>
      </w:pPr>
      <w:r w:rsidRPr="005507C1">
        <w:rPr>
          <w:rFonts w:ascii="Tahoma" w:eastAsia="Tahoma" w:hAnsi="Tahoma" w:cs="Tahoma"/>
          <w:sz w:val="24"/>
          <w:szCs w:val="24"/>
          <w:lang w:val="es-UY"/>
        </w:rPr>
        <w:tab/>
        <w:t xml:space="preserve">         Carnet de salud vigente</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                   PLAZO DE INSCRIPCIÓN: Febrero </w:t>
      </w:r>
      <w:r w:rsidR="004B6666">
        <w:rPr>
          <w:rFonts w:ascii="Tahoma" w:hAnsi="Tahoma"/>
          <w:sz w:val="24"/>
          <w:szCs w:val="24"/>
          <w:lang w:val="es-UY"/>
        </w:rPr>
        <w:t>19</w:t>
      </w:r>
      <w:r w:rsidRPr="005507C1">
        <w:rPr>
          <w:rFonts w:ascii="Tahoma" w:hAnsi="Tahoma"/>
          <w:sz w:val="24"/>
          <w:szCs w:val="24"/>
          <w:lang w:val="es-UY"/>
        </w:rPr>
        <w:t>, 2021 hora 12:00</w:t>
      </w:r>
    </w:p>
    <w:p w:rsidR="008F3902" w:rsidRPr="005507C1" w:rsidRDefault="0027331D">
      <w:pPr>
        <w:pStyle w:val="Addressee"/>
        <w:rPr>
          <w:rFonts w:ascii="Tahoma" w:eastAsia="Tahoma" w:hAnsi="Tahoma" w:cs="Tahoma"/>
          <w:sz w:val="24"/>
          <w:szCs w:val="24"/>
          <w:lang w:val="es-UY"/>
        </w:rPr>
      </w:pPr>
      <w:r w:rsidRPr="005507C1">
        <w:rPr>
          <w:rFonts w:ascii="Tahoma" w:hAnsi="Tahoma"/>
          <w:sz w:val="24"/>
          <w:szCs w:val="24"/>
          <w:lang w:val="es-UY"/>
        </w:rPr>
        <w:t xml:space="preserve">                   LUGAR: mismo del retiro de las bases.</w:t>
      </w:r>
    </w:p>
    <w:p w:rsidR="008F3902" w:rsidRPr="005507C1" w:rsidRDefault="008F3902">
      <w:pPr>
        <w:pStyle w:val="Addressee"/>
        <w:rPr>
          <w:rFonts w:ascii="Tahoma" w:eastAsia="Tahoma" w:hAnsi="Tahoma" w:cs="Tahoma"/>
          <w:sz w:val="24"/>
          <w:szCs w:val="24"/>
          <w:lang w:val="es-UY"/>
        </w:rPr>
      </w:pPr>
    </w:p>
    <w:p w:rsidR="008F3902" w:rsidRPr="005507C1" w:rsidRDefault="0027331D">
      <w:pPr>
        <w:pStyle w:val="Addressee"/>
        <w:numPr>
          <w:ilvl w:val="0"/>
          <w:numId w:val="2"/>
        </w:numPr>
        <w:rPr>
          <w:rFonts w:ascii="Tahoma" w:hAnsi="Tahoma"/>
          <w:sz w:val="24"/>
          <w:szCs w:val="24"/>
          <w:lang w:val="es-UY"/>
        </w:rPr>
      </w:pPr>
      <w:r w:rsidRPr="005507C1">
        <w:rPr>
          <w:rFonts w:ascii="Tahoma" w:hAnsi="Tahoma"/>
          <w:sz w:val="24"/>
          <w:szCs w:val="24"/>
          <w:lang w:val="es-UY"/>
        </w:rPr>
        <w:t>Nota: aquellos aspirantes que hayan pasado las pruebas del concurso sin ser eliminados integraran una lista de prelación para ser designados en las vacantes que puedan crearse en los primeros 24 meses de finalizado el concurso.</w:t>
      </w:r>
    </w:p>
    <w:p w:rsidR="008F3902" w:rsidRPr="005507C1" w:rsidRDefault="0027331D">
      <w:pPr>
        <w:pStyle w:val="Addressee"/>
        <w:numPr>
          <w:ilvl w:val="0"/>
          <w:numId w:val="2"/>
        </w:numPr>
        <w:rPr>
          <w:rFonts w:ascii="Tahoma" w:hAnsi="Tahoma"/>
          <w:sz w:val="24"/>
          <w:szCs w:val="24"/>
          <w:lang w:val="es-UY"/>
        </w:rPr>
      </w:pPr>
      <w:r w:rsidRPr="005507C1">
        <w:rPr>
          <w:rFonts w:ascii="Tahoma" w:hAnsi="Tahoma"/>
          <w:sz w:val="24"/>
          <w:szCs w:val="24"/>
          <w:lang w:val="es-UY"/>
        </w:rPr>
        <w:t xml:space="preserve">* Todas las inscripciones válidas en poder de la Comisión se mantienen vigentes para este nuevo llamado, pudiéndose agregar méritos hasta la fecha del cierre del llamado. </w:t>
      </w:r>
    </w:p>
    <w:p w:rsidR="008F3902" w:rsidRPr="005507C1" w:rsidRDefault="008F3902">
      <w:pPr>
        <w:pStyle w:val="Addressee"/>
        <w:rPr>
          <w:rFonts w:ascii="Arial" w:eastAsia="Arial" w:hAnsi="Arial" w:cs="Arial"/>
          <w:sz w:val="24"/>
          <w:szCs w:val="24"/>
          <w:lang w:val="es-UY"/>
        </w:rPr>
      </w:pPr>
    </w:p>
    <w:p w:rsidR="008F3902" w:rsidRPr="005507C1" w:rsidRDefault="008F3902">
      <w:pPr>
        <w:pStyle w:val="Addressee"/>
        <w:rPr>
          <w:rFonts w:ascii="Arial" w:eastAsia="Arial" w:hAnsi="Arial" w:cs="Arial"/>
          <w:sz w:val="24"/>
          <w:szCs w:val="24"/>
          <w:lang w:val="es-UY"/>
        </w:rPr>
      </w:pPr>
    </w:p>
    <w:p w:rsidR="008F3902" w:rsidRDefault="008F3902">
      <w:pPr>
        <w:pStyle w:val="Body"/>
        <w:ind w:left="720"/>
        <w:rPr>
          <w:rFonts w:ascii="Arial" w:eastAsia="Arial" w:hAnsi="Arial" w:cs="Arial"/>
          <w:sz w:val="24"/>
          <w:szCs w:val="24"/>
        </w:rPr>
      </w:pPr>
    </w:p>
    <w:p w:rsidR="008F3902" w:rsidRDefault="008F3902">
      <w:pPr>
        <w:pStyle w:val="Body"/>
        <w:ind w:left="720"/>
        <w:rPr>
          <w:rFonts w:ascii="Arial" w:eastAsia="Arial" w:hAnsi="Arial" w:cs="Arial"/>
          <w:sz w:val="24"/>
          <w:szCs w:val="24"/>
        </w:rPr>
      </w:pPr>
    </w:p>
    <w:p w:rsidR="008F3902" w:rsidRDefault="008F3902">
      <w:pPr>
        <w:pStyle w:val="Body"/>
        <w:ind w:left="1440"/>
        <w:jc w:val="center"/>
        <w:rPr>
          <w:rFonts w:ascii="Arial" w:eastAsia="Arial" w:hAnsi="Arial" w:cs="Arial"/>
          <w:sz w:val="24"/>
          <w:szCs w:val="24"/>
        </w:rPr>
      </w:pPr>
    </w:p>
    <w:p w:rsidR="008F3902" w:rsidRDefault="0027331D">
      <w:pPr>
        <w:pStyle w:val="Body"/>
        <w:ind w:left="720"/>
      </w:pPr>
      <w:r w:rsidRPr="005507C1">
        <w:rPr>
          <w:sz w:val="24"/>
          <w:szCs w:val="24"/>
        </w:rPr>
        <w:t xml:space="preserve"> </w:t>
      </w:r>
    </w:p>
    <w:sectPr w:rsidR="008F3902" w:rsidSect="008F390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54" w:rsidRDefault="00971854" w:rsidP="008F3902">
      <w:r>
        <w:separator/>
      </w:r>
    </w:p>
  </w:endnote>
  <w:endnote w:type="continuationSeparator" w:id="0">
    <w:p w:rsidR="00971854" w:rsidRDefault="00971854" w:rsidP="008F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xima Nova">
    <w:altName w:val="Times New Roman"/>
    <w:charset w:val="00"/>
    <w:family w:val="roman"/>
    <w:pitch w:val="default"/>
    <w:sig w:usb0="00000000" w:usb1="00000000" w:usb2="00000000" w:usb3="00000000" w:csb0="00000000" w:csb1="00000000"/>
  </w:font>
  <w:font w:name="Canela Text Regular">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ela Deck Bold">
    <w:altName w:val="Times New Roman"/>
    <w:panose1 w:val="00000000000000000000"/>
    <w:charset w:val="00"/>
    <w:family w:val="roman"/>
    <w:notTrueType/>
    <w:pitch w:val="default"/>
    <w:sig w:usb0="00000000" w:usb1="00000000" w:usb2="00000000" w:usb3="00000000" w:csb0="00000000" w:csb1="00000000"/>
  </w:font>
  <w:font w:name="Canela Text Medium">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02" w:rsidRDefault="008F39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54" w:rsidRDefault="00971854" w:rsidP="008F3902">
      <w:r>
        <w:separator/>
      </w:r>
    </w:p>
  </w:footnote>
  <w:footnote w:type="continuationSeparator" w:id="0">
    <w:p w:rsidR="00971854" w:rsidRDefault="00971854" w:rsidP="008F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02" w:rsidRDefault="008F39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638"/>
    <w:multiLevelType w:val="hybridMultilevel"/>
    <w:tmpl w:val="798452A0"/>
    <w:numStyleLink w:val="Bullet"/>
  </w:abstractNum>
  <w:abstractNum w:abstractNumId="1">
    <w:nsid w:val="693155E3"/>
    <w:multiLevelType w:val="hybridMultilevel"/>
    <w:tmpl w:val="798452A0"/>
    <w:styleLink w:val="Bullet"/>
    <w:lvl w:ilvl="0" w:tplc="537415EC">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2"/>
        <w:highlight w:val="none"/>
        <w:vertAlign w:val="baseline"/>
      </w:rPr>
    </w:lvl>
    <w:lvl w:ilvl="1" w:tplc="73C6DB32">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2"/>
        <w:highlight w:val="none"/>
        <w:vertAlign w:val="baseline"/>
      </w:rPr>
    </w:lvl>
    <w:lvl w:ilvl="2" w:tplc="AC10528E">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2"/>
        <w:highlight w:val="none"/>
        <w:vertAlign w:val="baseline"/>
      </w:rPr>
    </w:lvl>
    <w:lvl w:ilvl="3" w:tplc="97AE83A0">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2"/>
        <w:highlight w:val="none"/>
        <w:vertAlign w:val="baseline"/>
      </w:rPr>
    </w:lvl>
    <w:lvl w:ilvl="4" w:tplc="30EAE48E">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2"/>
        <w:highlight w:val="none"/>
        <w:vertAlign w:val="baseline"/>
      </w:rPr>
    </w:lvl>
    <w:lvl w:ilvl="5" w:tplc="C0FC191C">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2"/>
        <w:highlight w:val="none"/>
        <w:vertAlign w:val="baseline"/>
      </w:rPr>
    </w:lvl>
    <w:lvl w:ilvl="6" w:tplc="BB7E68CA">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2"/>
        <w:highlight w:val="none"/>
        <w:vertAlign w:val="baseline"/>
      </w:rPr>
    </w:lvl>
    <w:lvl w:ilvl="7" w:tplc="A030F142">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2"/>
        <w:highlight w:val="none"/>
        <w:vertAlign w:val="baseline"/>
      </w:rPr>
    </w:lvl>
    <w:lvl w:ilvl="8" w:tplc="EFE49822">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F3902"/>
    <w:rsid w:val="0027331D"/>
    <w:rsid w:val="004B6666"/>
    <w:rsid w:val="004D1B9B"/>
    <w:rsid w:val="005507C1"/>
    <w:rsid w:val="008F3902"/>
    <w:rsid w:val="0097185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UY" w:eastAsia="es-UY"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390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F3902"/>
    <w:rPr>
      <w:u w:val="single"/>
    </w:rPr>
  </w:style>
  <w:style w:type="table" w:customStyle="1" w:styleId="TableNormal">
    <w:name w:val="Table Normal"/>
    <w:rsid w:val="008F3902"/>
    <w:tblPr>
      <w:tblInd w:w="0" w:type="dxa"/>
      <w:tblCellMar>
        <w:top w:w="0" w:type="dxa"/>
        <w:left w:w="0" w:type="dxa"/>
        <w:bottom w:w="0" w:type="dxa"/>
        <w:right w:w="0" w:type="dxa"/>
      </w:tblCellMar>
    </w:tblPr>
  </w:style>
  <w:style w:type="paragraph" w:customStyle="1" w:styleId="Body">
    <w:name w:val="Body"/>
    <w:rsid w:val="008F3902"/>
    <w:pPr>
      <w:spacing w:after="200" w:line="264" w:lineRule="auto"/>
    </w:pPr>
    <w:rPr>
      <w:rFonts w:ascii="Proxima Nova" w:hAnsi="Proxima Nova" w:cs="Arial Unicode MS"/>
      <w:color w:val="000000"/>
      <w:shd w:val="nil"/>
    </w:rPr>
  </w:style>
  <w:style w:type="paragraph" w:customStyle="1" w:styleId="Default">
    <w:name w:val="Default"/>
    <w:rsid w:val="008F3902"/>
    <w:pPr>
      <w:spacing w:line="216" w:lineRule="auto"/>
    </w:pPr>
    <w:rPr>
      <w:rFonts w:ascii="Canela Text Regular" w:eastAsia="Canela Text Regular" w:hAnsi="Canela Text Regular" w:cs="Canela Text Regular"/>
      <w:color w:val="000000"/>
      <w:sz w:val="24"/>
      <w:szCs w:val="24"/>
      <w:shd w:val="nil"/>
    </w:rPr>
  </w:style>
  <w:style w:type="paragraph" w:customStyle="1" w:styleId="Addressee">
    <w:name w:val="Addressee"/>
    <w:rsid w:val="008F3902"/>
    <w:rPr>
      <w:rFonts w:ascii="Proxima Nova" w:hAnsi="Proxima Nova" w:cs="Arial Unicode MS"/>
      <w:color w:val="000000"/>
      <w:shd w:val="nil"/>
      <w:lang w:val="en-US"/>
    </w:rPr>
  </w:style>
  <w:style w:type="numbering" w:customStyle="1" w:styleId="Bullet">
    <w:name w:val="Bullet"/>
    <w:rsid w:val="008F3902"/>
    <w:pPr>
      <w:numPr>
        <w:numId w:val="1"/>
      </w:numPr>
    </w:pPr>
  </w:style>
  <w:style w:type="paragraph" w:styleId="Textodeglobo">
    <w:name w:val="Balloon Text"/>
    <w:basedOn w:val="Normal"/>
    <w:link w:val="TextodegloboCar"/>
    <w:uiPriority w:val="99"/>
    <w:semiHidden/>
    <w:unhideWhenUsed/>
    <w:rsid w:val="005507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7C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29_PersonalLetter">
  <a:themeElements>
    <a:clrScheme name="29_PersonalLetter">
      <a:dk1>
        <a:srgbClr val="000000"/>
      </a:dk1>
      <a:lt1>
        <a:srgbClr val="FFFFFF"/>
      </a:lt1>
      <a:dk2>
        <a:srgbClr val="5E5E5E"/>
      </a:dk2>
      <a:lt2>
        <a:srgbClr val="D5D5D5"/>
      </a:lt2>
      <a:accent1>
        <a:srgbClr val="B9CAD3"/>
      </a:accent1>
      <a:accent2>
        <a:srgbClr val="8CBAD7"/>
      </a:accent2>
      <a:accent3>
        <a:srgbClr val="B5AFC4"/>
      </a:accent3>
      <a:accent4>
        <a:srgbClr val="E8A6B1"/>
      </a:accent4>
      <a:accent5>
        <a:srgbClr val="FF8A6E"/>
      </a:accent5>
      <a:accent6>
        <a:srgbClr val="E2CF91"/>
      </a:accent6>
      <a:hlink>
        <a:srgbClr val="0000FF"/>
      </a:hlink>
      <a:folHlink>
        <a:srgbClr val="FF00FF"/>
      </a:folHlink>
    </a:clrScheme>
    <a:fontScheme name="29_PersonalLetter">
      <a:majorFont>
        <a:latin typeface="Canela Deck Bold"/>
        <a:ea typeface="Canela Deck Bold"/>
        <a:cs typeface="Canela Deck Bold"/>
      </a:majorFont>
      <a:minorFont>
        <a:latin typeface="Canela Text Medium"/>
        <a:ea typeface="Canela Text Medium"/>
        <a:cs typeface="Canela Text Medium"/>
      </a:minorFont>
    </a:fontScheme>
    <a:fmtScheme name="29_Pers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15431" rtl="0" fontAlgn="auto" latinLnBrk="0" hangingPunct="0">
          <a:lnSpc>
            <a:spcPct val="100000"/>
          </a:lnSpc>
          <a:spcBef>
            <a:spcPts val="0"/>
          </a:spcBef>
          <a:spcAft>
            <a:spcPts val="0"/>
          </a:spcAft>
          <a:buClrTx/>
          <a:buSzTx/>
          <a:buFontTx/>
          <a:buNone/>
          <a:tabLst/>
          <a:defRPr kumimoji="0" sz="1400" b="0" i="0" u="none" strike="noStrike" cap="none" spc="-28" normalizeH="0" baseline="0">
            <a:ln>
              <a:noFill/>
            </a:ln>
            <a:solidFill>
              <a:srgbClr val="FFFFFF"/>
            </a:solidFill>
            <a:effectLst/>
            <a:uFillTx/>
            <a:latin typeface="+mj-lt"/>
            <a:ea typeface="+mj-ea"/>
            <a:cs typeface="+mj-cs"/>
            <a:sym typeface="Canela Deck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F897B"/>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Proxima Nova"/>
            <a:ea typeface="Proxima Nova"/>
            <a:cs typeface="Proxima Nova"/>
            <a:sym typeface="Proxima Nov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1114</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Cecilia</cp:lastModifiedBy>
  <cp:revision>3</cp:revision>
  <dcterms:created xsi:type="dcterms:W3CDTF">2021-02-04T19:26:00Z</dcterms:created>
  <dcterms:modified xsi:type="dcterms:W3CDTF">2021-02-04T19:53:00Z</dcterms:modified>
</cp:coreProperties>
</file>